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both"/>
        <w:rPr>
          <w:rFonts w:hint="eastAsia" w:ascii="宋体" w:hAnsi="宋体" w:eastAsia="宋体" w:cs="宋体"/>
          <w:color w:val="auto"/>
        </w:rPr>
      </w:pPr>
      <w:bookmarkStart w:id="0" w:name="_Toc1119407279_WPSOffice_Level1"/>
      <w:bookmarkStart w:id="1" w:name="_Toc299740296_WPSOffice_Level1"/>
      <w:r>
        <w:rPr>
          <w:rFonts w:hint="eastAsia" w:ascii="宋体" w:hAnsi="宋体" w:eastAsia="宋体" w:cs="宋体"/>
          <w:color w:val="auto"/>
        </w:rPr>
        <w:t>A107040</w:t>
      </w:r>
      <w:r>
        <w:rPr>
          <w:rFonts w:hint="eastAsia" w:ascii="宋体" w:hAnsi="宋体" w:eastAsia="宋体" w:cs="宋体"/>
          <w:color w:val="auto"/>
        </w:rPr>
        <w:tab/>
      </w:r>
      <w:r>
        <w:rPr>
          <w:rFonts w:hint="eastAsia" w:ascii="宋体" w:hAnsi="宋体" w:eastAsia="宋体" w:cs="宋体"/>
          <w:color w:val="auto"/>
        </w:rPr>
        <w:t>减免所得税优惠明细表</w:t>
      </w:r>
      <w:bookmarkEnd w:id="0"/>
      <w:bookmarkEnd w:id="1"/>
    </w:p>
    <w:tbl>
      <w:tblPr>
        <w:tblStyle w:val="2"/>
        <w:tblW w:w="105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0"/>
        <w:gridCol w:w="8752"/>
        <w:gridCol w:w="7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1020" w:type="dxa"/>
            <w:tcBorders>
              <w:top w:val="single" w:color="auto" w:sz="12"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bookmarkStart w:id="2" w:name="_Hlk57571464"/>
            <w:r>
              <w:rPr>
                <w:rFonts w:hint="eastAsia" w:ascii="宋体" w:hAnsi="宋体" w:eastAsia="宋体" w:cs="宋体"/>
                <w:color w:val="auto"/>
                <w:kern w:val="0"/>
                <w:sz w:val="20"/>
                <w:szCs w:val="20"/>
              </w:rPr>
              <w:t>行次</w:t>
            </w:r>
          </w:p>
        </w:tc>
        <w:tc>
          <w:tcPr>
            <w:tcW w:w="8752" w:type="dxa"/>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项        目</w:t>
            </w:r>
          </w:p>
        </w:tc>
        <w:tc>
          <w:tcPr>
            <w:tcW w:w="770" w:type="dxa"/>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金 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一、符合条件的小型微利企业减免企业所得税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二、国家需要重点扶持的高新技术企业减按15%的税率征收企业所得税（填写A107041）</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left="352" w:hanging="352" w:hangingChars="176"/>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三、经济特区和上海浦东新区新设立的高新技术企业在区内取得的所得定期减免企业所得税（填写A107041）</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四、受灾地区农村信用社免征企业所得税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五、动漫企业自主开发、生产动漫产品定期减免企业所得税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六、线宽小于0.8微米（含）的集成电路生产企业减免企业所得税（填写A107042）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七、线宽小于0.25微米的集成电路生产企业减按15%税率征收企业所得税（填写A107042）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八、投资额超过80亿元的集成电路生产企业减按15%税率征收企业所得税（填写A107042）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ind w:left="105" w:leftChars="5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9</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九、线宽小于0.25微米的集成电路生产企业减免企业所得税（填写A107042）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10</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十、投资额超过80亿元的集成电路生产企业减免企业所得税（填写A107042）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11</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十一、新办集成电路设计企业减免企业所得税（填写A107042）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12</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十二、国家规划布局内集成电路设计企业可减按10%的税率征收企业所得税（填写A107042）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13</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十三、符合条件的软件企业减免企业所得税（填写A107042）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14</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十四、国家规划布局内重点软件企业可减按10%的税率征收企业所得税（填写A107042）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15</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十五、符合条件的集成电路封装测试企业定期减免企业所得税（填写A107042）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16</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left="562" w:hanging="562" w:hangingChars="281"/>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十六、符合条件的集成电路关键专用材料生产企业、集成电路专用设备生产企业定期减免企业所得税（填写A107042）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17</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十七、经营性文化事业单位转制为企业的免征企业所得税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18</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十八、符合条件的生产和装配伤残人员专门用品企业免征企业所得税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19</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十九、技术先进型服务企业（服务外包类）减按15%的税率征收企业所得税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20</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二十、技术先进型服务企业（服务贸易类）减按15%的税率征收企业所得税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21</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二十一、设在西部地区的鼓励类产业企业减按15%的税率征收企业所得税</w:t>
            </w:r>
            <w:r>
              <w:rPr>
                <w:rFonts w:hint="eastAsia" w:ascii="宋体" w:hAnsi="宋体" w:eastAsia="宋体" w:cs="宋体"/>
                <w:color w:val="auto"/>
                <w:sz w:val="20"/>
                <w:szCs w:val="20"/>
              </w:rPr>
              <w:t>(主营业务收入占比</w:t>
            </w:r>
            <w:r>
              <w:rPr>
                <w:rFonts w:hint="eastAsia" w:ascii="宋体" w:hAnsi="宋体" w:eastAsia="宋体" w:cs="宋体"/>
                <w:color w:val="auto"/>
                <w:sz w:val="20"/>
                <w:szCs w:val="20"/>
                <w:u w:val="single"/>
              </w:rPr>
              <w:t>____</w:t>
            </w:r>
            <w:r>
              <w:rPr>
                <w:rFonts w:hint="eastAsia" w:ascii="宋体" w:hAnsi="宋体" w:eastAsia="宋体" w:cs="宋体"/>
                <w:color w:val="auto"/>
                <w:sz w:val="20"/>
                <w:szCs w:val="20"/>
              </w:rPr>
              <w:t>%)</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22</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二十二、新疆困难地区新办企业定期减免企业所得税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23</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二十三、新疆喀什、霍尔果斯特殊经济开发区新办企业定期免征企业所得税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24</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left="732" w:hanging="732" w:hangingChars="366"/>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二十四、广东横琴、福建平潭、深圳前海等地区的鼓励类产业企业减按15%税率征收企业所得税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25</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二十五、北京冬奥组委、北京冬奥会测试赛赛事组委会免征企业所得税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26</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二十六、线宽小于130纳米（含）的集成电路生产企业减免企业所得税（原政策，填写A107042）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27</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二十七、线宽小于65纳米（含）或投资额超过150亿元的集成电路生产企业减免企业所得税（原政策，填写A107042）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二十八、其他（28.1+28.2+28.3+28.4+28.5+28.6）</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28.1</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（一）从事污染防治的第三方企业减按15%的税率征收企业所得税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28.2</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（二）上海自贸试验区临港新片区的重点产业企业减按15%的税率征收企业所得税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28.3</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（三）海南自由贸易港鼓励类企业减按15%</w:t>
            </w:r>
            <w:r>
              <w:rPr>
                <w:rFonts w:hint="eastAsia" w:ascii="宋体" w:hAnsi="宋体" w:eastAsia="宋体" w:cs="宋体"/>
                <w:color w:val="auto"/>
                <w:kern w:val="0"/>
                <w:sz w:val="20"/>
                <w:szCs w:val="20"/>
                <w:lang w:eastAsia="zh-CN"/>
              </w:rPr>
              <w:t>的</w:t>
            </w:r>
            <w:r>
              <w:rPr>
                <w:rFonts w:hint="eastAsia" w:ascii="宋体" w:hAnsi="宋体" w:eastAsia="宋体" w:cs="宋体"/>
                <w:color w:val="auto"/>
                <w:kern w:val="0"/>
                <w:sz w:val="20"/>
                <w:szCs w:val="20"/>
              </w:rPr>
              <w:t>税率征收企业所得税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（四）国家鼓励的集成电路和软件企业减免企业所得税政策（28.4.1+…+28.4.10）</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28.4.1</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1.线宽小于28纳米（含）集成电路生产企业减免企业所得税（填写A107042）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28.4.2</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2.线宽小于65纳米（含）集成电路生产企业减免企业所得税（填写A107042）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28.4.3</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3.线宽小于130纳米（含）集成电路生产企业减免企业所得税（填写A107042）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28.4.4</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4.集成电路设计业减免企业所得税（填写A107042）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28.4.5</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5.重点集成电路设计企业减免企业所得税（填写A107042）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28.4.6</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6.集成电路装备企业减免企业所得税（填写A107042）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28.4.7</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7.集成电路材料企业减免企业所得税（填写A107042）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28.4.8</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8.集成电路封装、测试企业减免企业所得税（填写A107042）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28.4.9</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9.软件企业减免企业所得税（填写A107042）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28.4.10</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1000" w:firstLineChars="5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10.重点软件企业减免企业所得税（填写A107042）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28.5</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（五）其他1</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28.6</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（六）其他2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29</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二十九、减：项目所得额按法定税率减半征收企业所得税叠加享受减免税优惠</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30</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三十、支持和促进重点群体创业就业企业限额减征企业所得税(30.1+30.2)</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30.1</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（一）企业招用建档立卡贫困人口就业扣减企业所得税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30.2</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（二）企业招用登记失业半年以上人员就业扣减企业所得税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31</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三十一、扶持自主就业退役士兵创业就业企业限额减征企业所得税</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32</w:t>
            </w:r>
          </w:p>
        </w:tc>
        <w:tc>
          <w:tcPr>
            <w:tcW w:w="8752"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三十二、符合条件的公司型创投企业按照企业年末个人股东持股比例减免企业所得税（个人股东持股比例____%）</w:t>
            </w:r>
          </w:p>
        </w:tc>
        <w:tc>
          <w:tcPr>
            <w:tcW w:w="770"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20" w:type="dxa"/>
            <w:tcBorders>
              <w:top w:val="single" w:color="auto" w:sz="6" w:space="0"/>
              <w:left w:val="single" w:color="auto" w:sz="12" w:space="0"/>
              <w:bottom w:val="single" w:color="auto" w:sz="12"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33</w:t>
            </w:r>
          </w:p>
        </w:tc>
        <w:tc>
          <w:tcPr>
            <w:tcW w:w="8752" w:type="dxa"/>
            <w:tcBorders>
              <w:top w:val="single" w:color="auto" w:sz="6" w:space="0"/>
              <w:left w:val="single" w:color="auto" w:sz="6" w:space="0"/>
              <w:bottom w:val="single" w:color="auto" w:sz="12"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合计（1+2+…+28-29+30+31+32）</w:t>
            </w:r>
          </w:p>
        </w:tc>
        <w:tc>
          <w:tcPr>
            <w:tcW w:w="770" w:type="dxa"/>
            <w:tcBorders>
              <w:top w:val="single" w:color="auto" w:sz="6" w:space="0"/>
              <w:left w:val="single" w:color="auto" w:sz="6" w:space="0"/>
              <w:bottom w:val="single" w:color="auto" w:sz="12"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bookmarkEnd w:id="2"/>
    </w:tbl>
    <w:p>
      <w:bookmarkStart w:id="3" w:name="_GoBack"/>
      <w:bookmarkEnd w:id="3"/>
    </w:p>
    <w:sectPr>
      <w:pgSz w:w="11906" w:h="16838"/>
      <w:pgMar w:top="1134"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Math">
    <w:altName w:val="DejaVu Math TeX Gyre"/>
    <w:panose1 w:val="02040503050406030204"/>
    <w:charset w:val="00"/>
    <w:family w:val="roman"/>
    <w:pitch w:val="default"/>
    <w:sig w:usb0="00000000" w:usb1="00000000" w:usb2="00000000"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CESI宋体-GB2312">
    <w:panose1 w:val="02000500000000000000"/>
    <w:charset w:val="86"/>
    <w:family w:val="auto"/>
    <w:pitch w:val="default"/>
    <w:sig w:usb0="800002AF" w:usb1="08476CF8" w:usb2="00000010"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1BA9"/>
    <w:rsid w:val="0001336A"/>
    <w:rsid w:val="0001446F"/>
    <w:rsid w:val="00033740"/>
    <w:rsid w:val="0008549C"/>
    <w:rsid w:val="000962AA"/>
    <w:rsid w:val="000E7D74"/>
    <w:rsid w:val="00101C1F"/>
    <w:rsid w:val="00110412"/>
    <w:rsid w:val="001265A2"/>
    <w:rsid w:val="001310C8"/>
    <w:rsid w:val="0013532C"/>
    <w:rsid w:val="0014415C"/>
    <w:rsid w:val="0027389D"/>
    <w:rsid w:val="002B74E8"/>
    <w:rsid w:val="002D75DF"/>
    <w:rsid w:val="0031594F"/>
    <w:rsid w:val="00323A1E"/>
    <w:rsid w:val="00323AB5"/>
    <w:rsid w:val="00333B3B"/>
    <w:rsid w:val="00361446"/>
    <w:rsid w:val="003A5936"/>
    <w:rsid w:val="003E2C43"/>
    <w:rsid w:val="00411F8D"/>
    <w:rsid w:val="00422B6F"/>
    <w:rsid w:val="00461BA9"/>
    <w:rsid w:val="004A2C8E"/>
    <w:rsid w:val="004D2121"/>
    <w:rsid w:val="0056531D"/>
    <w:rsid w:val="00574CBB"/>
    <w:rsid w:val="00595800"/>
    <w:rsid w:val="005A4D77"/>
    <w:rsid w:val="005D68EC"/>
    <w:rsid w:val="005E65DB"/>
    <w:rsid w:val="005F36BE"/>
    <w:rsid w:val="006305C1"/>
    <w:rsid w:val="0064124D"/>
    <w:rsid w:val="00646B61"/>
    <w:rsid w:val="00647C34"/>
    <w:rsid w:val="006942B2"/>
    <w:rsid w:val="006A189E"/>
    <w:rsid w:val="006B5E53"/>
    <w:rsid w:val="006C67B4"/>
    <w:rsid w:val="006D1921"/>
    <w:rsid w:val="006D400D"/>
    <w:rsid w:val="006E1D5C"/>
    <w:rsid w:val="006E1EE9"/>
    <w:rsid w:val="0071260A"/>
    <w:rsid w:val="007324A1"/>
    <w:rsid w:val="00750505"/>
    <w:rsid w:val="0078104D"/>
    <w:rsid w:val="007B0BFB"/>
    <w:rsid w:val="007B7DBC"/>
    <w:rsid w:val="007E368A"/>
    <w:rsid w:val="007F14AD"/>
    <w:rsid w:val="007F38C0"/>
    <w:rsid w:val="00814B95"/>
    <w:rsid w:val="00816EBF"/>
    <w:rsid w:val="00835E16"/>
    <w:rsid w:val="00840428"/>
    <w:rsid w:val="00847FA4"/>
    <w:rsid w:val="0088007A"/>
    <w:rsid w:val="008827DC"/>
    <w:rsid w:val="008D0E87"/>
    <w:rsid w:val="00926BAA"/>
    <w:rsid w:val="00945900"/>
    <w:rsid w:val="009918F2"/>
    <w:rsid w:val="00994D59"/>
    <w:rsid w:val="009B5DD7"/>
    <w:rsid w:val="009D617A"/>
    <w:rsid w:val="009F221F"/>
    <w:rsid w:val="00A01048"/>
    <w:rsid w:val="00A470CA"/>
    <w:rsid w:val="00A474AF"/>
    <w:rsid w:val="00A54467"/>
    <w:rsid w:val="00A71EBC"/>
    <w:rsid w:val="00A92681"/>
    <w:rsid w:val="00AB19F4"/>
    <w:rsid w:val="00AB24E8"/>
    <w:rsid w:val="00B21BE7"/>
    <w:rsid w:val="00C25031"/>
    <w:rsid w:val="00C607E2"/>
    <w:rsid w:val="00C77BCB"/>
    <w:rsid w:val="00C968BD"/>
    <w:rsid w:val="00CD6383"/>
    <w:rsid w:val="00D168B7"/>
    <w:rsid w:val="00D831E4"/>
    <w:rsid w:val="00DC7BB5"/>
    <w:rsid w:val="00DD1C48"/>
    <w:rsid w:val="00DF0ECC"/>
    <w:rsid w:val="00E01CBD"/>
    <w:rsid w:val="00E04DCC"/>
    <w:rsid w:val="00E10EB8"/>
    <w:rsid w:val="00E21B1B"/>
    <w:rsid w:val="00E34861"/>
    <w:rsid w:val="00E6338A"/>
    <w:rsid w:val="00EB652A"/>
    <w:rsid w:val="00F174EE"/>
    <w:rsid w:val="00F41234"/>
    <w:rsid w:val="00F52048"/>
    <w:rsid w:val="00F57757"/>
    <w:rsid w:val="00FB7CB5"/>
    <w:rsid w:val="00FF7268"/>
    <w:rsid w:val="6DB71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黑体" w:hAnsi="黑体" w:eastAsia="Cambria Math"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SBBT1"/>
    <w:basedOn w:val="1"/>
    <w:qFormat/>
    <w:uiPriority w:val="0"/>
    <w:pPr>
      <w:tabs>
        <w:tab w:val="center" w:pos="4678"/>
      </w:tabs>
      <w:spacing w:line="360" w:lineRule="auto"/>
      <w:jc w:val="left"/>
      <w:outlineLvl w:val="0"/>
    </w:pPr>
    <w:rPr>
      <w:rFonts w:ascii="Cambria Math" w:hAnsi="Cambria Math" w:cs="Cambria Math"/>
      <w:b/>
      <w:bCs/>
      <w:kern w:val="0"/>
      <w:sz w:val="28"/>
      <w:szCs w:val="28"/>
    </w:rPr>
  </w:style>
  <w:style w:type="paragraph" w:customStyle="1" w:styleId="5">
    <w:name w:val="表格1级"/>
    <w:basedOn w:val="1"/>
    <w:qFormat/>
    <w:uiPriority w:val="0"/>
    <w:pPr>
      <w:tabs>
        <w:tab w:val="left" w:pos="210"/>
        <w:tab w:val="center" w:pos="4620"/>
      </w:tabs>
      <w:spacing w:before="50" w:beforeLines="50" w:after="50" w:afterLines="50"/>
      <w:jc w:val="center"/>
      <w:outlineLvl w:val="0"/>
    </w:pPr>
    <w:rPr>
      <w:rFonts w:ascii="Times New Roman" w:hAnsi="Times New Roman" w:eastAsia="CESI宋体-GB2312"/>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335</Words>
  <Characters>1911</Characters>
  <Lines>15</Lines>
  <Paragraphs>4</Paragraphs>
  <TotalTime>0</TotalTime>
  <ScaleCrop>false</ScaleCrop>
  <LinksUpToDate>false</LinksUpToDate>
  <CharactersWithSpaces>2242</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2021-01-06T10:56:00Z</dcterms:created>
  <dc:creator>宁强</dc:creator>
  <cp:lastModifiedBy>宁强</cp:lastModifiedBy>
  <cp:lastPrinted>2021-01-08T15:49:00Z</cp:lastPrinted>
  <dcterms:modified xsi:type="dcterms:W3CDTF">2022-01-06T14:59:37Z</dcterms:modified>
  <dc:title>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